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46" w:rsidRDefault="00953234">
      <w:pPr>
        <w:pStyle w:val="Title"/>
      </w:pPr>
      <w:r>
        <w:t>Math 122 Syllabus Fall 2015</w:t>
      </w:r>
      <w:r w:rsidR="00423B7D">
        <w:t xml:space="preserve"> </w:t>
      </w:r>
    </w:p>
    <w:p w:rsidR="00C45D46" w:rsidRDefault="00C45D46">
      <w:pPr>
        <w:pStyle w:val="Title"/>
        <w:rPr>
          <w:sz w:val="20"/>
        </w:rPr>
      </w:pPr>
      <w:r w:rsidRPr="004A2FC5">
        <w:rPr>
          <w:sz w:val="24"/>
          <w:szCs w:val="24"/>
        </w:rPr>
        <w:t>Text</w:t>
      </w:r>
      <w:r>
        <w:rPr>
          <w:sz w:val="24"/>
          <w:szCs w:val="24"/>
        </w:rPr>
        <w:t>:</w:t>
      </w:r>
      <w:r>
        <w:t xml:space="preserve"> </w:t>
      </w:r>
      <w:proofErr w:type="spellStart"/>
      <w:r>
        <w:rPr>
          <w:sz w:val="20"/>
        </w:rPr>
        <w:t>Precalculus</w:t>
      </w:r>
      <w:proofErr w:type="spellEnd"/>
      <w:r>
        <w:rPr>
          <w:sz w:val="20"/>
        </w:rPr>
        <w:t>: Mathematics for Calculus</w:t>
      </w:r>
      <w:r w:rsidR="00953234">
        <w:rPr>
          <w:sz w:val="20"/>
        </w:rPr>
        <w:t xml:space="preserve"> 7</w:t>
      </w:r>
      <w:r w:rsidR="00953234" w:rsidRPr="00953234">
        <w:rPr>
          <w:sz w:val="20"/>
          <w:vertAlign w:val="superscript"/>
        </w:rPr>
        <w:t>th</w:t>
      </w:r>
      <w:r w:rsidR="00953234">
        <w:rPr>
          <w:sz w:val="20"/>
        </w:rPr>
        <w:t xml:space="preserve"> Ed. </w:t>
      </w:r>
      <w:r w:rsidR="005209A9">
        <w:rPr>
          <w:sz w:val="20"/>
        </w:rPr>
        <w:t xml:space="preserve"> </w:t>
      </w:r>
      <w:proofErr w:type="spellStart"/>
      <w:r>
        <w:rPr>
          <w:sz w:val="20"/>
        </w:rPr>
        <w:t>Stew</w:t>
      </w:r>
      <w:r w:rsidR="00953234">
        <w:rPr>
          <w:sz w:val="20"/>
        </w:rPr>
        <w:t>ert</w:t>
      </w:r>
      <w:proofErr w:type="spellEnd"/>
      <w:r w:rsidR="00953234">
        <w:rPr>
          <w:sz w:val="20"/>
        </w:rPr>
        <w:t xml:space="preserve">, </w:t>
      </w:r>
      <w:proofErr w:type="spellStart"/>
      <w:r w:rsidR="0056423D">
        <w:rPr>
          <w:sz w:val="20"/>
        </w:rPr>
        <w:t>Redlin</w:t>
      </w:r>
      <w:proofErr w:type="spellEnd"/>
      <w:r w:rsidR="00953234">
        <w:rPr>
          <w:sz w:val="20"/>
        </w:rPr>
        <w:t xml:space="preserve"> &amp; Watson </w:t>
      </w:r>
    </w:p>
    <w:p w:rsidR="005209A9" w:rsidRDefault="00C45D46">
      <w:pPr>
        <w:pStyle w:val="Title"/>
        <w:rPr>
          <w:sz w:val="20"/>
        </w:rPr>
      </w:pPr>
      <w:r>
        <w:rPr>
          <w:sz w:val="20"/>
        </w:rPr>
        <w:t>Calculator: TI-83+ or TI-84</w:t>
      </w:r>
      <w:r w:rsidR="00E93968">
        <w:rPr>
          <w:sz w:val="20"/>
        </w:rPr>
        <w:t xml:space="preserve">   </w:t>
      </w:r>
      <w:r w:rsidR="005209A9">
        <w:rPr>
          <w:sz w:val="20"/>
        </w:rPr>
        <w:t xml:space="preserve">HMS: </w:t>
      </w:r>
      <w:proofErr w:type="spellStart"/>
      <w:r w:rsidR="005209A9">
        <w:rPr>
          <w:sz w:val="20"/>
        </w:rPr>
        <w:t>WebAssign</w:t>
      </w:r>
      <w:proofErr w:type="spellEnd"/>
    </w:p>
    <w:p w:rsidR="00C45D46" w:rsidRDefault="00C45D46">
      <w:pPr>
        <w:pStyle w:val="Title"/>
      </w:pPr>
    </w:p>
    <w:p w:rsidR="00C45D46" w:rsidRDefault="00C45D46" w:rsidP="00732068">
      <w:pPr>
        <w:rPr>
          <w:sz w:val="20"/>
        </w:rPr>
      </w:pPr>
      <w:r>
        <w:rPr>
          <w:sz w:val="20"/>
        </w:rPr>
        <w:t>The s</w:t>
      </w:r>
      <w:r w:rsidR="000C536A">
        <w:rPr>
          <w:sz w:val="20"/>
        </w:rPr>
        <w:t>uggested lecture hours below</w:t>
      </w:r>
      <w:r>
        <w:rPr>
          <w:sz w:val="20"/>
        </w:rPr>
        <w:t xml:space="preserve"> are based on 4 lecture hours/week for 14 weeks. 6 hours are reserved for tests &amp; review. All sections of Math 122 should include instruction in the use of the TI-83 graphics calculator. The calculus committee recommends 3 in-class exams equally spaced in the semester, for example in the 5</w:t>
      </w:r>
      <w:r w:rsidRPr="00C40C1F">
        <w:rPr>
          <w:sz w:val="20"/>
          <w:vertAlign w:val="superscript"/>
        </w:rPr>
        <w:t>th</w:t>
      </w:r>
      <w:r>
        <w:rPr>
          <w:sz w:val="20"/>
        </w:rPr>
        <w:t>, 9</w:t>
      </w:r>
      <w:r w:rsidRPr="00C40C1F">
        <w:rPr>
          <w:sz w:val="20"/>
          <w:vertAlign w:val="superscript"/>
        </w:rPr>
        <w:t>th</w:t>
      </w:r>
      <w:r>
        <w:rPr>
          <w:sz w:val="20"/>
        </w:rPr>
        <w:t xml:space="preserve"> and 14</w:t>
      </w:r>
      <w:r w:rsidRPr="00C40C1F">
        <w:rPr>
          <w:sz w:val="20"/>
          <w:vertAlign w:val="superscript"/>
        </w:rPr>
        <w:t>th</w:t>
      </w:r>
      <w:r>
        <w:rPr>
          <w:sz w:val="20"/>
        </w:rPr>
        <w:t xml:space="preserve"> weeks.</w:t>
      </w:r>
      <w:r w:rsidR="0056423D">
        <w:rPr>
          <w:sz w:val="20"/>
        </w:rPr>
        <w:t xml:space="preserve"> Questions from Optional Sections should not be used on departmental finals exams.</w:t>
      </w:r>
    </w:p>
    <w:p w:rsidR="00851ED7" w:rsidRDefault="00851ED7"/>
    <w:p w:rsidR="00732068" w:rsidRPr="0056423D" w:rsidRDefault="00732068" w:rsidP="00732068">
      <w:pPr>
        <w:rPr>
          <w:sz w:val="20"/>
        </w:rPr>
      </w:pPr>
      <w:r w:rsidRPr="0056423D">
        <w:rPr>
          <w:sz w:val="20"/>
        </w:rPr>
        <w:t>Chapter 1</w:t>
      </w:r>
      <w:r w:rsidRPr="0056423D">
        <w:rPr>
          <w:sz w:val="20"/>
        </w:rPr>
        <w:tab/>
        <w:t>Fundamentals</w:t>
      </w:r>
      <w:r w:rsidRPr="0056423D">
        <w:rPr>
          <w:sz w:val="20"/>
        </w:rPr>
        <w:tab/>
      </w:r>
      <w:r w:rsidRPr="0056423D">
        <w:rPr>
          <w:sz w:val="20"/>
        </w:rPr>
        <w:tab/>
      </w:r>
      <w:r w:rsidRPr="0056423D">
        <w:rPr>
          <w:sz w:val="20"/>
        </w:rPr>
        <w:tab/>
      </w:r>
      <w:r w:rsidRPr="0056423D">
        <w:rPr>
          <w:sz w:val="20"/>
        </w:rPr>
        <w:tab/>
      </w:r>
      <w:r w:rsidRPr="0056423D">
        <w:rPr>
          <w:sz w:val="20"/>
        </w:rPr>
        <w:tab/>
        <w:t>8 hours</w:t>
      </w:r>
      <w:r w:rsidR="00167326">
        <w:rPr>
          <w:sz w:val="20"/>
        </w:rPr>
        <w:t xml:space="preserve">  </w:t>
      </w:r>
    </w:p>
    <w:p w:rsidR="00732068" w:rsidRPr="0056423D" w:rsidRDefault="00732068" w:rsidP="00732068">
      <w:pPr>
        <w:rPr>
          <w:sz w:val="20"/>
        </w:rPr>
      </w:pPr>
      <w:r w:rsidRPr="0056423D">
        <w:rPr>
          <w:sz w:val="20"/>
        </w:rPr>
        <w:t>Sections:   1.2, 1.3</w:t>
      </w:r>
      <w:r w:rsidR="004C7421">
        <w:rPr>
          <w:sz w:val="20"/>
        </w:rPr>
        <w:t>, 1.4, 1.5,</w:t>
      </w:r>
      <w:r w:rsidR="00FC5276">
        <w:rPr>
          <w:sz w:val="20"/>
        </w:rPr>
        <w:t xml:space="preserve"> 1.9, 1.10</w:t>
      </w:r>
      <w:r w:rsidR="004C7421">
        <w:rPr>
          <w:sz w:val="20"/>
        </w:rPr>
        <w:t>, 1.11, 1.12</w:t>
      </w:r>
    </w:p>
    <w:p w:rsidR="00732068" w:rsidRPr="00E54892" w:rsidRDefault="00732068" w:rsidP="00732068">
      <w:pPr>
        <w:rPr>
          <w:sz w:val="18"/>
          <w:szCs w:val="18"/>
        </w:rPr>
      </w:pPr>
      <w:r w:rsidRPr="00E54892">
        <w:rPr>
          <w:sz w:val="18"/>
          <w:szCs w:val="18"/>
        </w:rPr>
        <w:t xml:space="preserve">Basic Algebra and analytic geometry. This material should be considered review. It also is a good opportunity to introduce the graphic calculator. </w:t>
      </w:r>
      <w:r w:rsidR="00E54892" w:rsidRPr="00E54892">
        <w:rPr>
          <w:sz w:val="18"/>
          <w:szCs w:val="18"/>
        </w:rPr>
        <w:t xml:space="preserve">  </w:t>
      </w:r>
      <w:r w:rsidRPr="00E54892">
        <w:rPr>
          <w:sz w:val="18"/>
          <w:szCs w:val="18"/>
        </w:rPr>
        <w:t xml:space="preserve">Instructors should review common algebraic errors, for example: </w:t>
      </w:r>
    </w:p>
    <w:p w:rsidR="00732068" w:rsidRPr="00E93968" w:rsidRDefault="002C4CD3" w:rsidP="00732068">
      <w:pPr>
        <w:rPr>
          <w:sz w:val="18"/>
          <w:szCs w:val="18"/>
        </w:rPr>
      </w:pPr>
      <w:r w:rsidRPr="002C4CD3">
        <w:rPr>
          <w:position w:val="-24"/>
          <w:sz w:val="18"/>
          <w:szCs w:val="18"/>
        </w:rPr>
        <w:object w:dxaOrig="5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30.55pt" o:ole="">
            <v:imagedata r:id="rId5" o:title=""/>
          </v:shape>
          <o:OLEObject Type="Embed" ProgID="Equation.3" ShapeID="_x0000_i1025" DrawAspect="Content" ObjectID="_1502116645" r:id="rId6"/>
        </w:object>
      </w:r>
      <w:r w:rsidR="00732068" w:rsidRPr="00E93968">
        <w:rPr>
          <w:sz w:val="18"/>
          <w:szCs w:val="18"/>
        </w:rPr>
        <w:t xml:space="preserve">     Students should understand </w:t>
      </w:r>
    </w:p>
    <w:p w:rsidR="00732068" w:rsidRPr="00E93968" w:rsidRDefault="00732068" w:rsidP="00732068">
      <w:pPr>
        <w:rPr>
          <w:sz w:val="18"/>
          <w:szCs w:val="18"/>
        </w:rPr>
      </w:pPr>
      <w:r w:rsidRPr="00E93968">
        <w:rPr>
          <w:sz w:val="18"/>
          <w:szCs w:val="18"/>
        </w:rPr>
        <w:t>why these are false, and be able to re</w:t>
      </w:r>
      <w:r w:rsidR="00E54892">
        <w:rPr>
          <w:sz w:val="18"/>
          <w:szCs w:val="18"/>
        </w:rPr>
        <w:t>cognize when they have made these</w:t>
      </w:r>
      <w:r w:rsidRPr="00E93968">
        <w:rPr>
          <w:sz w:val="18"/>
          <w:szCs w:val="18"/>
        </w:rPr>
        <w:t xml:space="preserve"> error</w:t>
      </w:r>
      <w:r w:rsidR="00E54892">
        <w:rPr>
          <w:sz w:val="18"/>
          <w:szCs w:val="18"/>
        </w:rPr>
        <w:t>s</w:t>
      </w:r>
      <w:r w:rsidRPr="00E93968">
        <w:rPr>
          <w:sz w:val="18"/>
          <w:szCs w:val="18"/>
        </w:rPr>
        <w:t xml:space="preserve">. </w:t>
      </w:r>
    </w:p>
    <w:p w:rsidR="00851ED7" w:rsidRPr="0056423D" w:rsidRDefault="00851ED7" w:rsidP="00732068">
      <w:pPr>
        <w:rPr>
          <w:sz w:val="20"/>
        </w:rPr>
      </w:pPr>
    </w:p>
    <w:p w:rsidR="00732068" w:rsidRPr="0056423D" w:rsidRDefault="00732068" w:rsidP="00732068">
      <w:pPr>
        <w:rPr>
          <w:sz w:val="20"/>
        </w:rPr>
      </w:pPr>
      <w:r w:rsidRPr="0056423D">
        <w:rPr>
          <w:sz w:val="20"/>
        </w:rPr>
        <w:t>Chap</w:t>
      </w:r>
      <w:r w:rsidR="00167326">
        <w:rPr>
          <w:sz w:val="20"/>
        </w:rPr>
        <w:t>ter 2</w:t>
      </w:r>
      <w:r w:rsidR="00167326">
        <w:rPr>
          <w:sz w:val="20"/>
        </w:rPr>
        <w:tab/>
        <w:t>Functions</w:t>
      </w:r>
      <w:r w:rsidR="00167326">
        <w:rPr>
          <w:sz w:val="20"/>
        </w:rPr>
        <w:tab/>
      </w:r>
      <w:r w:rsidR="00167326">
        <w:rPr>
          <w:sz w:val="20"/>
        </w:rPr>
        <w:tab/>
      </w:r>
      <w:r w:rsidR="00167326">
        <w:rPr>
          <w:sz w:val="20"/>
        </w:rPr>
        <w:tab/>
      </w:r>
      <w:r w:rsidR="00167326">
        <w:rPr>
          <w:sz w:val="20"/>
        </w:rPr>
        <w:tab/>
        <w:t xml:space="preserve">            9</w:t>
      </w:r>
      <w:r w:rsidRPr="0056423D">
        <w:rPr>
          <w:sz w:val="20"/>
        </w:rPr>
        <w:t xml:space="preserve"> hours</w:t>
      </w:r>
      <w:r w:rsidR="00167326">
        <w:rPr>
          <w:sz w:val="20"/>
        </w:rPr>
        <w:t xml:space="preserve">  </w:t>
      </w:r>
    </w:p>
    <w:p w:rsidR="004D6ADF" w:rsidRDefault="005E2FF9" w:rsidP="00732068">
      <w:pPr>
        <w:rPr>
          <w:sz w:val="20"/>
        </w:rPr>
      </w:pPr>
      <w:r>
        <w:rPr>
          <w:sz w:val="20"/>
        </w:rPr>
        <w:t>Sections:   2.1, 2.2. 2.3, 2.4</w:t>
      </w:r>
      <w:r w:rsidR="00732068" w:rsidRPr="0056423D">
        <w:rPr>
          <w:sz w:val="20"/>
        </w:rPr>
        <w:t>,  2.6,</w:t>
      </w:r>
      <w:r>
        <w:rPr>
          <w:sz w:val="20"/>
        </w:rPr>
        <w:t xml:space="preserve"> </w:t>
      </w:r>
      <w:r w:rsidR="00851ED7">
        <w:rPr>
          <w:sz w:val="20"/>
        </w:rPr>
        <w:t>2.7, 2.8</w:t>
      </w:r>
      <w:r w:rsidR="00732068" w:rsidRPr="0056423D">
        <w:rPr>
          <w:sz w:val="20"/>
        </w:rPr>
        <w:t xml:space="preserve">  </w:t>
      </w:r>
    </w:p>
    <w:p w:rsidR="00732068" w:rsidRPr="00E93968" w:rsidRDefault="004D6ADF" w:rsidP="00732068">
      <w:pPr>
        <w:rPr>
          <w:sz w:val="18"/>
          <w:szCs w:val="18"/>
        </w:rPr>
      </w:pPr>
      <w:r w:rsidRPr="00E93968">
        <w:rPr>
          <w:sz w:val="18"/>
          <w:szCs w:val="18"/>
        </w:rPr>
        <w:t xml:space="preserve">Optional:   </w:t>
      </w:r>
      <w:r w:rsidR="00851ED7" w:rsidRPr="00E93968">
        <w:rPr>
          <w:sz w:val="18"/>
          <w:szCs w:val="18"/>
        </w:rPr>
        <w:t>“Modeling with functions”, p 237</w:t>
      </w:r>
      <w:r w:rsidR="00732068" w:rsidRPr="00E93968">
        <w:rPr>
          <w:sz w:val="18"/>
          <w:szCs w:val="18"/>
        </w:rPr>
        <w:t xml:space="preserve"> </w:t>
      </w:r>
      <w:r w:rsidR="00732068" w:rsidRPr="00E93968">
        <w:rPr>
          <w:sz w:val="18"/>
          <w:szCs w:val="18"/>
        </w:rPr>
        <w:sym w:font="Symbol" w:char="F0DE"/>
      </w:r>
      <w:r w:rsidR="00851ED7" w:rsidRPr="00E93968">
        <w:rPr>
          <w:sz w:val="18"/>
          <w:szCs w:val="18"/>
        </w:rPr>
        <w:t xml:space="preserve"> 240</w:t>
      </w:r>
    </w:p>
    <w:p w:rsidR="00732068" w:rsidRDefault="00732068" w:rsidP="00732068">
      <w:pPr>
        <w:rPr>
          <w:sz w:val="20"/>
        </w:rPr>
      </w:pPr>
      <w:r w:rsidRPr="00E93968">
        <w:rPr>
          <w:sz w:val="18"/>
          <w:szCs w:val="18"/>
        </w:rPr>
        <w:t>Operations with functions offer another opportunity to review basic use of symbols and algebraic skills in context. It is important that students recognize the difference between f(x+1) and f(x)+1, or  f(</w:t>
      </w:r>
      <w:proofErr w:type="spellStart"/>
      <w:r w:rsidRPr="00E93968">
        <w:rPr>
          <w:sz w:val="18"/>
          <w:szCs w:val="18"/>
        </w:rPr>
        <w:t>x+h</w:t>
      </w:r>
      <w:proofErr w:type="spellEnd"/>
      <w:r w:rsidRPr="00E93968">
        <w:rPr>
          <w:sz w:val="18"/>
          <w:szCs w:val="18"/>
        </w:rPr>
        <w:t>) and f(x)+h</w:t>
      </w:r>
    </w:p>
    <w:p w:rsidR="00851ED7" w:rsidRPr="0056423D" w:rsidRDefault="00851ED7" w:rsidP="00732068">
      <w:pPr>
        <w:rPr>
          <w:sz w:val="20"/>
        </w:rPr>
      </w:pPr>
    </w:p>
    <w:p w:rsidR="00732068" w:rsidRPr="0056423D" w:rsidRDefault="00732068" w:rsidP="00732068">
      <w:pPr>
        <w:rPr>
          <w:sz w:val="20"/>
        </w:rPr>
      </w:pPr>
      <w:r w:rsidRPr="0056423D">
        <w:rPr>
          <w:sz w:val="20"/>
        </w:rPr>
        <w:t>Chapter 3</w:t>
      </w:r>
      <w:r w:rsidRPr="0056423D">
        <w:rPr>
          <w:sz w:val="20"/>
        </w:rPr>
        <w:tab/>
        <w:t>Polyn</w:t>
      </w:r>
      <w:r w:rsidR="00167326">
        <w:rPr>
          <w:sz w:val="20"/>
        </w:rPr>
        <w:t>omials and Rational Functions</w:t>
      </w:r>
      <w:r w:rsidR="00167326">
        <w:rPr>
          <w:sz w:val="20"/>
        </w:rPr>
        <w:tab/>
      </w:r>
      <w:r w:rsidR="00167326">
        <w:rPr>
          <w:sz w:val="20"/>
        </w:rPr>
        <w:tab/>
        <w:t>7</w:t>
      </w:r>
      <w:r w:rsidRPr="0056423D">
        <w:rPr>
          <w:sz w:val="20"/>
        </w:rPr>
        <w:t xml:space="preserve"> hours</w:t>
      </w:r>
      <w:r w:rsidR="00167326">
        <w:rPr>
          <w:sz w:val="20"/>
        </w:rPr>
        <w:t xml:space="preserve">  </w:t>
      </w:r>
    </w:p>
    <w:p w:rsidR="00732068" w:rsidRPr="0056423D" w:rsidRDefault="00DD5B4A" w:rsidP="00732068">
      <w:pPr>
        <w:rPr>
          <w:sz w:val="20"/>
        </w:rPr>
      </w:pPr>
      <w:r>
        <w:rPr>
          <w:sz w:val="20"/>
        </w:rPr>
        <w:t>Sections: 3.1, 3.2,</w:t>
      </w:r>
      <w:r w:rsidR="00167326">
        <w:rPr>
          <w:sz w:val="20"/>
        </w:rPr>
        <w:t xml:space="preserve"> 3.6</w:t>
      </w:r>
    </w:p>
    <w:p w:rsidR="00732068" w:rsidRPr="00E93968" w:rsidRDefault="00732068" w:rsidP="00732068">
      <w:pPr>
        <w:rPr>
          <w:sz w:val="18"/>
          <w:szCs w:val="18"/>
        </w:rPr>
      </w:pPr>
      <w:r w:rsidRPr="00E93968">
        <w:rPr>
          <w:sz w:val="18"/>
          <w:szCs w:val="18"/>
        </w:rPr>
        <w:t>We skip complex numbers; where necessary</w:t>
      </w:r>
      <w:r w:rsidR="00851ED7" w:rsidRPr="00E93968">
        <w:rPr>
          <w:sz w:val="18"/>
          <w:szCs w:val="18"/>
        </w:rPr>
        <w:t>,</w:t>
      </w:r>
      <w:r w:rsidRPr="00E93968">
        <w:rPr>
          <w:sz w:val="18"/>
          <w:szCs w:val="18"/>
        </w:rPr>
        <w:t xml:space="preserve"> observe some equations have no real solutions. </w:t>
      </w:r>
    </w:p>
    <w:p w:rsidR="00851ED7" w:rsidRDefault="002546BC" w:rsidP="00732068">
      <w:pPr>
        <w:rPr>
          <w:sz w:val="20"/>
        </w:rPr>
      </w:pPr>
      <w:r>
        <w:rPr>
          <w:sz w:val="20"/>
        </w:rPr>
        <w:t>(Optional:  3.3 Dividing Polynomials and  3.4 Real Zeros of Polynomials)</w:t>
      </w:r>
    </w:p>
    <w:p w:rsidR="002546BC" w:rsidRPr="0056423D" w:rsidRDefault="002546BC" w:rsidP="00732068">
      <w:pPr>
        <w:rPr>
          <w:sz w:val="20"/>
        </w:rPr>
      </w:pPr>
    </w:p>
    <w:p w:rsidR="00732068" w:rsidRPr="0056423D" w:rsidRDefault="00732068" w:rsidP="00732068">
      <w:pPr>
        <w:rPr>
          <w:sz w:val="20"/>
        </w:rPr>
      </w:pPr>
      <w:r w:rsidRPr="0056423D">
        <w:rPr>
          <w:sz w:val="20"/>
        </w:rPr>
        <w:t>Chapter 4     Exponential and Logarithmic Functions</w:t>
      </w:r>
      <w:r w:rsidRPr="0056423D">
        <w:rPr>
          <w:sz w:val="20"/>
        </w:rPr>
        <w:tab/>
      </w:r>
      <w:r w:rsidRPr="0056423D">
        <w:rPr>
          <w:sz w:val="20"/>
        </w:rPr>
        <w:tab/>
      </w:r>
      <w:r w:rsidR="00167326">
        <w:rPr>
          <w:sz w:val="20"/>
        </w:rPr>
        <w:tab/>
        <w:t>8</w:t>
      </w:r>
      <w:r w:rsidRPr="0056423D">
        <w:rPr>
          <w:sz w:val="20"/>
        </w:rPr>
        <w:t xml:space="preserve"> hours</w:t>
      </w:r>
      <w:r w:rsidR="00167326">
        <w:rPr>
          <w:sz w:val="20"/>
        </w:rPr>
        <w:t xml:space="preserve">   </w:t>
      </w:r>
    </w:p>
    <w:p w:rsidR="00732068" w:rsidRDefault="00851ED7" w:rsidP="00732068">
      <w:pPr>
        <w:rPr>
          <w:sz w:val="20"/>
        </w:rPr>
      </w:pPr>
      <w:r>
        <w:rPr>
          <w:sz w:val="20"/>
        </w:rPr>
        <w:t xml:space="preserve">Sections:  </w:t>
      </w:r>
      <w:r w:rsidR="00075090">
        <w:rPr>
          <w:sz w:val="20"/>
        </w:rPr>
        <w:t>4.1,</w:t>
      </w:r>
      <w:r w:rsidR="00732068" w:rsidRPr="0056423D">
        <w:rPr>
          <w:sz w:val="20"/>
        </w:rPr>
        <w:t xml:space="preserve"> 4.3, 4.4, 4.5</w:t>
      </w:r>
    </w:p>
    <w:p w:rsidR="00851ED7" w:rsidRDefault="00851ED7" w:rsidP="00732068">
      <w:pPr>
        <w:rPr>
          <w:sz w:val="20"/>
        </w:rPr>
      </w:pPr>
    </w:p>
    <w:p w:rsidR="00851ED7" w:rsidRPr="0056423D" w:rsidRDefault="00851ED7" w:rsidP="00851ED7">
      <w:pPr>
        <w:rPr>
          <w:sz w:val="20"/>
        </w:rPr>
      </w:pPr>
      <w:r w:rsidRPr="0056423D">
        <w:rPr>
          <w:sz w:val="20"/>
        </w:rPr>
        <w:t>Chapter 5: Trig Fun</w:t>
      </w:r>
      <w:r w:rsidR="00167326">
        <w:rPr>
          <w:sz w:val="20"/>
        </w:rPr>
        <w:t>ctions: Unit Circle Approach</w:t>
      </w:r>
      <w:r w:rsidR="00167326">
        <w:rPr>
          <w:sz w:val="20"/>
        </w:rPr>
        <w:tab/>
      </w:r>
      <w:r w:rsidR="00167326">
        <w:rPr>
          <w:sz w:val="20"/>
        </w:rPr>
        <w:tab/>
      </w:r>
      <w:r w:rsidR="00167326">
        <w:rPr>
          <w:sz w:val="20"/>
        </w:rPr>
        <w:tab/>
        <w:t>6</w:t>
      </w:r>
      <w:r w:rsidRPr="0056423D">
        <w:rPr>
          <w:sz w:val="20"/>
        </w:rPr>
        <w:t xml:space="preserve"> hours</w:t>
      </w:r>
      <w:r w:rsidR="00167326">
        <w:rPr>
          <w:sz w:val="20"/>
        </w:rPr>
        <w:t xml:space="preserve">  </w:t>
      </w:r>
    </w:p>
    <w:p w:rsidR="00E93968" w:rsidRPr="0056423D" w:rsidRDefault="00851ED7" w:rsidP="00E93968">
      <w:pPr>
        <w:rPr>
          <w:sz w:val="20"/>
        </w:rPr>
      </w:pPr>
      <w:r w:rsidRPr="0056423D">
        <w:rPr>
          <w:sz w:val="20"/>
        </w:rPr>
        <w:t xml:space="preserve">Sections:  5.1 </w:t>
      </w:r>
      <w:r w:rsidRPr="0056423D">
        <w:rPr>
          <w:sz w:val="20"/>
        </w:rPr>
        <w:sym w:font="Symbol" w:char="F0DE"/>
      </w:r>
      <w:r w:rsidR="004C7421">
        <w:rPr>
          <w:sz w:val="20"/>
        </w:rPr>
        <w:t xml:space="preserve">  5.5</w:t>
      </w:r>
      <w:r w:rsidR="00E93968">
        <w:rPr>
          <w:sz w:val="20"/>
        </w:rPr>
        <w:tab/>
      </w:r>
      <w:r w:rsidR="00E93968">
        <w:rPr>
          <w:sz w:val="20"/>
        </w:rPr>
        <w:tab/>
      </w:r>
      <w:r w:rsidR="00E93968" w:rsidRPr="0056423D">
        <w:rPr>
          <w:sz w:val="20"/>
        </w:rPr>
        <w:t>Emphasize the graphs of sine, cosine an</w:t>
      </w:r>
      <w:r w:rsidR="00E93968">
        <w:rPr>
          <w:sz w:val="20"/>
        </w:rPr>
        <w:t>d tangent functions.</w:t>
      </w:r>
    </w:p>
    <w:p w:rsidR="00732068" w:rsidRDefault="00732068" w:rsidP="00732068">
      <w:pPr>
        <w:rPr>
          <w:sz w:val="20"/>
        </w:rPr>
      </w:pPr>
    </w:p>
    <w:p w:rsidR="004D6ADF" w:rsidRPr="0056423D" w:rsidRDefault="004D6ADF" w:rsidP="004D6ADF">
      <w:pPr>
        <w:rPr>
          <w:sz w:val="20"/>
        </w:rPr>
      </w:pPr>
      <w:r w:rsidRPr="0056423D">
        <w:rPr>
          <w:sz w:val="20"/>
        </w:rPr>
        <w:t>Chapter 6  Trig Functi</w:t>
      </w:r>
      <w:r w:rsidR="00167326">
        <w:rPr>
          <w:sz w:val="20"/>
        </w:rPr>
        <w:t>ons: Right Triangle Approach</w:t>
      </w:r>
      <w:r w:rsidR="00167326">
        <w:rPr>
          <w:sz w:val="20"/>
        </w:rPr>
        <w:tab/>
      </w:r>
      <w:r w:rsidR="00167326">
        <w:rPr>
          <w:sz w:val="20"/>
        </w:rPr>
        <w:tab/>
      </w:r>
      <w:r w:rsidR="00167326">
        <w:rPr>
          <w:sz w:val="20"/>
        </w:rPr>
        <w:tab/>
        <w:t>6</w:t>
      </w:r>
      <w:r w:rsidRPr="0056423D">
        <w:rPr>
          <w:sz w:val="20"/>
        </w:rPr>
        <w:t xml:space="preserve"> hours</w:t>
      </w:r>
      <w:r w:rsidR="00167326">
        <w:rPr>
          <w:sz w:val="20"/>
        </w:rPr>
        <w:t xml:space="preserve"> </w:t>
      </w:r>
    </w:p>
    <w:p w:rsidR="004D6ADF" w:rsidRPr="0056423D" w:rsidRDefault="004D6ADF" w:rsidP="004D6ADF">
      <w:pPr>
        <w:rPr>
          <w:sz w:val="20"/>
        </w:rPr>
      </w:pPr>
      <w:r>
        <w:rPr>
          <w:sz w:val="20"/>
        </w:rPr>
        <w:t>Sections:  6.1, 6.2, 6.3</w:t>
      </w:r>
      <w:r w:rsidRPr="0056423D">
        <w:rPr>
          <w:sz w:val="20"/>
        </w:rPr>
        <w:t xml:space="preserve"> </w:t>
      </w:r>
      <w:r w:rsidR="00E93968">
        <w:rPr>
          <w:sz w:val="20"/>
        </w:rPr>
        <w:t xml:space="preserve">  (Optional:  6.5 Law of Sines  6.6 Law of Cosines )</w:t>
      </w:r>
    </w:p>
    <w:p w:rsidR="00732068" w:rsidRPr="0056423D" w:rsidRDefault="00732068" w:rsidP="00732068">
      <w:pPr>
        <w:rPr>
          <w:sz w:val="20"/>
        </w:rPr>
      </w:pPr>
    </w:p>
    <w:p w:rsidR="00732068" w:rsidRPr="0056423D" w:rsidRDefault="00732068" w:rsidP="00732068">
      <w:pPr>
        <w:rPr>
          <w:sz w:val="20"/>
        </w:rPr>
      </w:pPr>
      <w:r w:rsidRPr="0056423D">
        <w:rPr>
          <w:sz w:val="20"/>
        </w:rPr>
        <w:t>Chapte</w:t>
      </w:r>
      <w:r w:rsidR="004D6ADF">
        <w:rPr>
          <w:sz w:val="20"/>
        </w:rPr>
        <w:t>r 7  Analytic Trigon</w:t>
      </w:r>
      <w:r w:rsidR="00167326">
        <w:rPr>
          <w:sz w:val="20"/>
        </w:rPr>
        <w:t>ometry</w:t>
      </w:r>
      <w:r w:rsidR="00167326">
        <w:rPr>
          <w:sz w:val="20"/>
        </w:rPr>
        <w:tab/>
      </w:r>
      <w:r w:rsidR="00167326">
        <w:rPr>
          <w:sz w:val="20"/>
        </w:rPr>
        <w:tab/>
      </w:r>
      <w:r w:rsidR="00167326">
        <w:rPr>
          <w:sz w:val="20"/>
        </w:rPr>
        <w:tab/>
      </w:r>
      <w:r w:rsidR="00167326">
        <w:rPr>
          <w:sz w:val="20"/>
        </w:rPr>
        <w:tab/>
      </w:r>
      <w:r w:rsidR="00167326">
        <w:rPr>
          <w:sz w:val="20"/>
        </w:rPr>
        <w:tab/>
        <w:t>6</w:t>
      </w:r>
      <w:r w:rsidRPr="0056423D">
        <w:rPr>
          <w:sz w:val="20"/>
        </w:rPr>
        <w:t xml:space="preserve"> hours</w:t>
      </w:r>
      <w:r w:rsidR="00167326">
        <w:rPr>
          <w:sz w:val="20"/>
        </w:rPr>
        <w:t xml:space="preserve">  </w:t>
      </w:r>
    </w:p>
    <w:p w:rsidR="00732068" w:rsidRPr="0056423D" w:rsidRDefault="00732068" w:rsidP="00732068">
      <w:pPr>
        <w:rPr>
          <w:sz w:val="20"/>
        </w:rPr>
      </w:pPr>
      <w:r w:rsidRPr="0056423D">
        <w:rPr>
          <w:sz w:val="20"/>
        </w:rPr>
        <w:t xml:space="preserve">Sections: 7.1 </w:t>
      </w:r>
      <w:r w:rsidRPr="0056423D">
        <w:rPr>
          <w:sz w:val="20"/>
        </w:rPr>
        <w:sym w:font="Symbol" w:char="F0DE"/>
      </w:r>
      <w:r w:rsidR="006272DC">
        <w:rPr>
          <w:sz w:val="20"/>
        </w:rPr>
        <w:t xml:space="preserve"> 7.3</w:t>
      </w:r>
    </w:p>
    <w:p w:rsidR="00732068" w:rsidRDefault="00732068" w:rsidP="002546BC">
      <w:pPr>
        <w:rPr>
          <w:sz w:val="20"/>
        </w:rPr>
      </w:pPr>
      <w:r w:rsidRPr="0056423D">
        <w:rPr>
          <w:sz w:val="20"/>
        </w:rPr>
        <w:t xml:space="preserve">Omit “Expressions of the form A sin x + B cos x” in section 7.2, and product-sum formulas in section 7.3 </w:t>
      </w:r>
    </w:p>
    <w:p w:rsidR="002546BC" w:rsidRDefault="002546BC" w:rsidP="002546BC">
      <w:pPr>
        <w:rPr>
          <w:sz w:val="20"/>
        </w:rPr>
      </w:pPr>
    </w:p>
    <w:p w:rsidR="002546BC" w:rsidRPr="002546BC" w:rsidRDefault="002546BC" w:rsidP="002546BC">
      <w:pPr>
        <w:rPr>
          <w:sz w:val="20"/>
        </w:rPr>
      </w:pPr>
    </w:p>
    <w:p w:rsidR="00732068" w:rsidRDefault="00732068" w:rsidP="00732068">
      <w:pPr>
        <w:jc w:val="center"/>
        <w:rPr>
          <w:sz w:val="22"/>
          <w:szCs w:val="22"/>
        </w:rPr>
      </w:pPr>
      <w:r w:rsidRPr="00E93968">
        <w:rPr>
          <w:sz w:val="22"/>
          <w:szCs w:val="22"/>
        </w:rPr>
        <w:t>Calculator Guidelines:</w:t>
      </w:r>
    </w:p>
    <w:p w:rsidR="002546BC" w:rsidRPr="00E93968" w:rsidRDefault="002546BC" w:rsidP="00732068">
      <w:pPr>
        <w:jc w:val="center"/>
        <w:rPr>
          <w:sz w:val="22"/>
          <w:szCs w:val="22"/>
        </w:rPr>
      </w:pPr>
    </w:p>
    <w:p w:rsidR="00732068" w:rsidRPr="002546BC" w:rsidRDefault="00732068" w:rsidP="00732068">
      <w:pPr>
        <w:rPr>
          <w:sz w:val="20"/>
        </w:rPr>
      </w:pPr>
      <w:r w:rsidRPr="002546BC">
        <w:rPr>
          <w:sz w:val="20"/>
        </w:rPr>
        <w:t xml:space="preserve">All sections </w:t>
      </w:r>
      <w:r w:rsidR="00167326" w:rsidRPr="002546BC">
        <w:rPr>
          <w:sz w:val="20"/>
        </w:rPr>
        <w:t xml:space="preserve">of Math 122 should include </w:t>
      </w:r>
      <w:r w:rsidRPr="002546BC">
        <w:rPr>
          <w:sz w:val="20"/>
        </w:rPr>
        <w:t xml:space="preserve">instruction in the use of graphic calculators. </w:t>
      </w:r>
      <w:r w:rsidR="00423B7D" w:rsidRPr="002546BC">
        <w:rPr>
          <w:sz w:val="20"/>
        </w:rPr>
        <w:t xml:space="preserve">Instructors should also demonstrate some examples where numerical estimates can be misleading. </w:t>
      </w:r>
      <w:r w:rsidRPr="002546BC">
        <w:rPr>
          <w:sz w:val="20"/>
        </w:rPr>
        <w:t>On departmental finals students are not permitted to use calculators which have symbolic computer algebraic systems, for example, the TI-89 or TI-92.</w:t>
      </w:r>
      <w:r w:rsidR="005209A9" w:rsidRPr="002546BC">
        <w:rPr>
          <w:sz w:val="20"/>
        </w:rPr>
        <w:t xml:space="preserve"> </w:t>
      </w:r>
      <w:r w:rsidRPr="002546BC">
        <w:rPr>
          <w:sz w:val="20"/>
        </w:rPr>
        <w:t>All sections of Math 122 should cover the following calculator operations</w:t>
      </w:r>
    </w:p>
    <w:p w:rsidR="00732068" w:rsidRPr="002546BC" w:rsidRDefault="00732068" w:rsidP="00732068">
      <w:pPr>
        <w:ind w:firstLine="720"/>
        <w:rPr>
          <w:sz w:val="20"/>
        </w:rPr>
      </w:pPr>
      <w:r w:rsidRPr="002546BC">
        <w:rPr>
          <w:sz w:val="20"/>
        </w:rPr>
        <w:t>Graphing:</w:t>
      </w:r>
      <w:r w:rsidRPr="002546BC">
        <w:rPr>
          <w:sz w:val="20"/>
        </w:rPr>
        <w:tab/>
        <w:t xml:space="preserve">Y=  menu,  WINDOW,  TRACE,  GRAPH  ZOOM menu </w:t>
      </w:r>
    </w:p>
    <w:p w:rsidR="00732068" w:rsidRPr="002546BC" w:rsidRDefault="00732068" w:rsidP="00732068">
      <w:pPr>
        <w:ind w:firstLine="720"/>
        <w:rPr>
          <w:sz w:val="20"/>
        </w:rPr>
      </w:pPr>
      <w:r w:rsidRPr="002546BC">
        <w:rPr>
          <w:sz w:val="20"/>
        </w:rPr>
        <w:t>Use of the FORMAT menu and MODE settings</w:t>
      </w:r>
    </w:p>
    <w:p w:rsidR="00732068" w:rsidRPr="002546BC" w:rsidRDefault="00E93968" w:rsidP="002546BC">
      <w:pPr>
        <w:ind w:left="720"/>
        <w:rPr>
          <w:sz w:val="20"/>
        </w:rPr>
      </w:pPr>
      <w:r w:rsidRPr="002546BC">
        <w:rPr>
          <w:sz w:val="20"/>
        </w:rPr>
        <w:t xml:space="preserve">Table Menu:   </w:t>
      </w:r>
      <w:r w:rsidR="00732068" w:rsidRPr="002546BC">
        <w:rPr>
          <w:sz w:val="20"/>
        </w:rPr>
        <w:t>TBLSET, Using TABLE to dis</w:t>
      </w:r>
      <w:r w:rsidRPr="002546BC">
        <w:rPr>
          <w:sz w:val="20"/>
        </w:rPr>
        <w:t xml:space="preserve">play function values; finding </w:t>
      </w:r>
      <w:r w:rsidR="00732068" w:rsidRPr="002546BC">
        <w:rPr>
          <w:sz w:val="20"/>
        </w:rPr>
        <w:t>more digits than the table displays</w:t>
      </w:r>
    </w:p>
    <w:p w:rsidR="00732068" w:rsidRPr="00E93968" w:rsidRDefault="002546BC" w:rsidP="00732068">
      <w:pPr>
        <w:rPr>
          <w:sz w:val="18"/>
          <w:szCs w:val="18"/>
        </w:rPr>
      </w:pPr>
      <w:r>
        <w:rPr>
          <w:sz w:val="18"/>
          <w:szCs w:val="18"/>
        </w:rPr>
        <w:br w:type="page"/>
      </w:r>
    </w:p>
    <w:p w:rsidR="0056423D" w:rsidRDefault="0056423D" w:rsidP="0056423D">
      <w:pPr>
        <w:pStyle w:val="Title"/>
      </w:pPr>
      <w:proofErr w:type="spellStart"/>
      <w:r>
        <w:lastRenderedPageBreak/>
        <w:t>WebAssign</w:t>
      </w:r>
      <w:proofErr w:type="spellEnd"/>
      <w:r w:rsidR="005209A9">
        <w:t xml:space="preserve"> HMS</w:t>
      </w:r>
    </w:p>
    <w:p w:rsidR="002546BC" w:rsidRDefault="002546BC" w:rsidP="0056423D">
      <w:pPr>
        <w:pStyle w:val="Title"/>
      </w:pPr>
    </w:p>
    <w:p w:rsidR="002546BC" w:rsidRDefault="002546BC" w:rsidP="002546BC">
      <w:pPr>
        <w:pStyle w:val="Title"/>
        <w:rPr>
          <w:b w:val="0"/>
          <w:sz w:val="20"/>
        </w:rPr>
      </w:pPr>
      <w:r>
        <w:rPr>
          <w:sz w:val="20"/>
        </w:rPr>
        <w:t>All sections of Math 122 are required to include an on-line homework management system.</w:t>
      </w:r>
    </w:p>
    <w:p w:rsidR="002546BC" w:rsidRDefault="002546BC" w:rsidP="0056423D">
      <w:pPr>
        <w:pStyle w:val="Title"/>
        <w:jc w:val="left"/>
        <w:rPr>
          <w:b w:val="0"/>
          <w:sz w:val="20"/>
        </w:rPr>
      </w:pPr>
    </w:p>
    <w:p w:rsidR="0056423D" w:rsidRDefault="005209A9" w:rsidP="0056423D">
      <w:pPr>
        <w:pStyle w:val="Title"/>
        <w:jc w:val="left"/>
        <w:rPr>
          <w:b w:val="0"/>
          <w:sz w:val="20"/>
        </w:rPr>
      </w:pPr>
      <w:r>
        <w:rPr>
          <w:b w:val="0"/>
          <w:sz w:val="20"/>
        </w:rPr>
        <w:t>S</w:t>
      </w:r>
      <w:r w:rsidR="0056423D">
        <w:rPr>
          <w:b w:val="0"/>
          <w:sz w:val="20"/>
        </w:rPr>
        <w:t xml:space="preserve">tudents who buy the textbook in the Queens College Bookstore will </w:t>
      </w:r>
      <w:r>
        <w:rPr>
          <w:b w:val="0"/>
          <w:sz w:val="20"/>
        </w:rPr>
        <w:t xml:space="preserve">receive </w:t>
      </w:r>
      <w:r w:rsidR="0056423D">
        <w:rPr>
          <w:b w:val="0"/>
          <w:sz w:val="20"/>
        </w:rPr>
        <w:t>a pa</w:t>
      </w:r>
      <w:r w:rsidR="002546BC">
        <w:rPr>
          <w:b w:val="0"/>
          <w:sz w:val="20"/>
        </w:rPr>
        <w:t xml:space="preserve">ckage including a soft cover </w:t>
      </w:r>
      <w:r w:rsidR="0056423D">
        <w:rPr>
          <w:b w:val="0"/>
          <w:sz w:val="20"/>
        </w:rPr>
        <w:t>loose-leaf version of the complete textbook  (</w:t>
      </w:r>
      <w:proofErr w:type="spellStart"/>
      <w:r w:rsidR="0056423D" w:rsidRPr="00733F27">
        <w:rPr>
          <w:b w:val="0"/>
          <w:sz w:val="20"/>
        </w:rPr>
        <w:t>Stewert</w:t>
      </w:r>
      <w:proofErr w:type="spellEnd"/>
      <w:r w:rsidR="0056423D" w:rsidRPr="00733F27">
        <w:rPr>
          <w:b w:val="0"/>
          <w:sz w:val="20"/>
        </w:rPr>
        <w:t>/</w:t>
      </w:r>
      <w:proofErr w:type="spellStart"/>
      <w:r w:rsidR="0056423D" w:rsidRPr="00733F27">
        <w:rPr>
          <w:b w:val="0"/>
          <w:sz w:val="20"/>
        </w:rPr>
        <w:t>Redlin</w:t>
      </w:r>
      <w:proofErr w:type="spellEnd"/>
      <w:r w:rsidR="0056423D" w:rsidRPr="00733F27">
        <w:rPr>
          <w:b w:val="0"/>
          <w:sz w:val="20"/>
        </w:rPr>
        <w:t>/Watson</w:t>
      </w:r>
      <w:r w:rsidR="0056423D">
        <w:rPr>
          <w:b w:val="0"/>
          <w:sz w:val="20"/>
        </w:rPr>
        <w:t xml:space="preserve"> </w:t>
      </w:r>
      <w:proofErr w:type="spellStart"/>
      <w:r w:rsidR="0056423D" w:rsidRPr="00733F27">
        <w:rPr>
          <w:b w:val="0"/>
          <w:sz w:val="20"/>
        </w:rPr>
        <w:t>Precalculus</w:t>
      </w:r>
      <w:proofErr w:type="spellEnd"/>
      <w:r w:rsidR="0056423D" w:rsidRPr="00733F27">
        <w:rPr>
          <w:b w:val="0"/>
          <w:sz w:val="20"/>
        </w:rPr>
        <w:t>: Mathematics for Calculus</w:t>
      </w:r>
      <w:r w:rsidR="0056423D">
        <w:rPr>
          <w:b w:val="0"/>
          <w:sz w:val="20"/>
        </w:rPr>
        <w:t xml:space="preserve"> </w:t>
      </w:r>
      <w:r w:rsidR="00953234">
        <w:rPr>
          <w:b w:val="0"/>
          <w:sz w:val="20"/>
        </w:rPr>
        <w:t>7</w:t>
      </w:r>
      <w:r w:rsidR="0056423D" w:rsidRPr="00DD3A82">
        <w:rPr>
          <w:b w:val="0"/>
          <w:sz w:val="20"/>
          <w:vertAlign w:val="superscript"/>
        </w:rPr>
        <w:t>th</w:t>
      </w:r>
      <w:r w:rsidR="0056423D">
        <w:rPr>
          <w:b w:val="0"/>
          <w:sz w:val="20"/>
        </w:rPr>
        <w:t xml:space="preserve"> edition) plus a printed access card</w:t>
      </w:r>
      <w:r w:rsidR="002546BC">
        <w:rPr>
          <w:b w:val="0"/>
          <w:sz w:val="20"/>
        </w:rPr>
        <w:t xml:space="preserve"> with the code</w:t>
      </w:r>
      <w:r w:rsidR="0056423D">
        <w:rPr>
          <w:b w:val="0"/>
          <w:sz w:val="20"/>
        </w:rPr>
        <w:t xml:space="preserve"> which allows them to use the</w:t>
      </w:r>
      <w:r w:rsidR="004C3AE7">
        <w:rPr>
          <w:b w:val="0"/>
          <w:sz w:val="20"/>
        </w:rPr>
        <w:t xml:space="preserve"> </w:t>
      </w:r>
      <w:proofErr w:type="spellStart"/>
      <w:r w:rsidR="004C3AE7">
        <w:rPr>
          <w:b w:val="0"/>
          <w:sz w:val="20"/>
        </w:rPr>
        <w:t>WebAssign</w:t>
      </w:r>
      <w:proofErr w:type="spellEnd"/>
      <w:r w:rsidR="0056423D">
        <w:rPr>
          <w:b w:val="0"/>
          <w:sz w:val="20"/>
        </w:rPr>
        <w:t xml:space="preserve"> </w:t>
      </w:r>
      <w:r>
        <w:rPr>
          <w:b w:val="0"/>
          <w:sz w:val="20"/>
        </w:rPr>
        <w:t>HMS. (Access card copied</w:t>
      </w:r>
      <w:r w:rsidR="0056423D">
        <w:rPr>
          <w:b w:val="0"/>
          <w:sz w:val="20"/>
        </w:rPr>
        <w:t xml:space="preserve"> below). Please tell students NOT to throw this card away with the packaging. </w:t>
      </w:r>
    </w:p>
    <w:p w:rsidR="0056423D" w:rsidRDefault="0056423D" w:rsidP="0056423D">
      <w:pPr>
        <w:pStyle w:val="Title"/>
        <w:jc w:val="left"/>
        <w:rPr>
          <w:b w:val="0"/>
          <w:sz w:val="20"/>
        </w:rPr>
      </w:pPr>
    </w:p>
    <w:p w:rsidR="0056423D" w:rsidRDefault="0056423D" w:rsidP="0056423D">
      <w:pPr>
        <w:jc w:val="center"/>
        <w:rPr>
          <w:b/>
        </w:rPr>
      </w:pPr>
      <w:r w:rsidRPr="00D74FF2">
        <w:rPr>
          <w:b/>
        </w:rPr>
        <w:t>HMS Guidelines</w:t>
      </w:r>
    </w:p>
    <w:p w:rsidR="004C3AE7" w:rsidRDefault="0056423D" w:rsidP="0056423D">
      <w:pPr>
        <w:rPr>
          <w:sz w:val="20"/>
        </w:rPr>
      </w:pPr>
      <w:r w:rsidRPr="00D74FF2">
        <w:rPr>
          <w:sz w:val="20"/>
        </w:rPr>
        <w:t>Website</w:t>
      </w:r>
      <w:r>
        <w:rPr>
          <w:sz w:val="20"/>
        </w:rPr>
        <w:t>:</w:t>
      </w:r>
      <w:r>
        <w:rPr>
          <w:sz w:val="20"/>
        </w:rPr>
        <w:tab/>
      </w:r>
      <w:r>
        <w:rPr>
          <w:sz w:val="20"/>
        </w:rPr>
        <w:tab/>
      </w:r>
      <w:hyperlink r:id="rId7" w:history="1">
        <w:r w:rsidRPr="002C6F21">
          <w:rPr>
            <w:rStyle w:val="Hyperlink"/>
            <w:sz w:val="20"/>
          </w:rPr>
          <w:t>http://webassign.net/</w:t>
        </w:r>
      </w:hyperlink>
      <w:r>
        <w:rPr>
          <w:sz w:val="20"/>
        </w:rPr>
        <w:t xml:space="preserve">     </w:t>
      </w:r>
    </w:p>
    <w:p w:rsidR="0056423D" w:rsidRDefault="004C3AE7" w:rsidP="0056423D">
      <w:pPr>
        <w:rPr>
          <w:sz w:val="20"/>
        </w:rPr>
      </w:pPr>
      <w:r>
        <w:rPr>
          <w:sz w:val="20"/>
        </w:rPr>
        <w:t xml:space="preserve">New </w:t>
      </w:r>
      <w:r w:rsidR="0056423D">
        <w:rPr>
          <w:sz w:val="20"/>
        </w:rPr>
        <w:t>Instructors can get logins here:</w:t>
      </w:r>
      <w:r w:rsidR="00E54892">
        <w:rPr>
          <w:sz w:val="20"/>
        </w:rPr>
        <w:t xml:space="preserve">  </w:t>
      </w:r>
      <w:hyperlink r:id="rId8" w:history="1">
        <w:r w:rsidR="0056423D" w:rsidRPr="002C6F21">
          <w:rPr>
            <w:rStyle w:val="Hyperlink"/>
            <w:sz w:val="20"/>
          </w:rPr>
          <w:t>http://webassign.net/</w:t>
        </w:r>
      </w:hyperlink>
      <w:r>
        <w:rPr>
          <w:sz w:val="20"/>
        </w:rPr>
        <w:t xml:space="preserve">    use institution code   qc</w:t>
      </w:r>
    </w:p>
    <w:p w:rsidR="0056423D" w:rsidRDefault="0056423D" w:rsidP="0056423D">
      <w:pPr>
        <w:rPr>
          <w:sz w:val="20"/>
        </w:rPr>
      </w:pPr>
    </w:p>
    <w:p w:rsidR="00E54892" w:rsidRDefault="00E54892" w:rsidP="00E54892">
      <w:pPr>
        <w:jc w:val="center"/>
        <w:rPr>
          <w:sz w:val="20"/>
        </w:rPr>
      </w:pPr>
    </w:p>
    <w:p w:rsidR="0056423D" w:rsidRDefault="0056423D" w:rsidP="0056423D">
      <w:pPr>
        <w:rPr>
          <w:sz w:val="20"/>
        </w:rPr>
      </w:pPr>
      <w:r>
        <w:rPr>
          <w:sz w:val="20"/>
        </w:rPr>
        <w:t xml:space="preserve">In addition to on line homework, the </w:t>
      </w:r>
      <w:r w:rsidR="00E54892">
        <w:rPr>
          <w:sz w:val="20"/>
        </w:rPr>
        <w:t xml:space="preserve">WA </w:t>
      </w:r>
      <w:r>
        <w:rPr>
          <w:sz w:val="20"/>
        </w:rPr>
        <w:t xml:space="preserve">web site offers an e-book version of our text, a personal study guide for students, and videos of lectures linked to each section of the book. All students will self-enroll in </w:t>
      </w:r>
      <w:proofErr w:type="spellStart"/>
      <w:r>
        <w:rPr>
          <w:sz w:val="20"/>
        </w:rPr>
        <w:t>WebAssign</w:t>
      </w:r>
      <w:proofErr w:type="spellEnd"/>
      <w:r>
        <w:rPr>
          <w:sz w:val="20"/>
        </w:rPr>
        <w:t xml:space="preserve">. </w:t>
      </w:r>
    </w:p>
    <w:p w:rsidR="0056423D" w:rsidRDefault="0056423D" w:rsidP="0056423D">
      <w:pPr>
        <w:rPr>
          <w:sz w:val="20"/>
        </w:rPr>
      </w:pPr>
      <w:r>
        <w:rPr>
          <w:sz w:val="20"/>
        </w:rPr>
        <w:t xml:space="preserve">Students whose instructors have not created their own on-line section in </w:t>
      </w:r>
      <w:proofErr w:type="spellStart"/>
      <w:r>
        <w:rPr>
          <w:sz w:val="20"/>
        </w:rPr>
        <w:t>WebAssign</w:t>
      </w:r>
      <w:proofErr w:type="spellEnd"/>
      <w:r>
        <w:rPr>
          <w:sz w:val="20"/>
        </w:rPr>
        <w:t xml:space="preserve"> can register at the Math 122 Master Section to access these resources</w:t>
      </w:r>
      <w:r w:rsidR="00E54892">
        <w:rPr>
          <w:sz w:val="20"/>
        </w:rPr>
        <w:t xml:space="preserve">, including </w:t>
      </w:r>
      <w:r w:rsidR="0082701E">
        <w:rPr>
          <w:sz w:val="20"/>
        </w:rPr>
        <w:t xml:space="preserve">a set of </w:t>
      </w:r>
      <w:r w:rsidR="00423B7D">
        <w:rPr>
          <w:sz w:val="20"/>
        </w:rPr>
        <w:t xml:space="preserve">on-line </w:t>
      </w:r>
      <w:r w:rsidR="00E54892">
        <w:rPr>
          <w:sz w:val="20"/>
        </w:rPr>
        <w:t>homework assignments</w:t>
      </w:r>
      <w:r>
        <w:rPr>
          <w:sz w:val="20"/>
        </w:rPr>
        <w:t>. To do this they enter the following section and code when they register</w:t>
      </w:r>
    </w:p>
    <w:p w:rsidR="0056423D" w:rsidRDefault="0056423D" w:rsidP="0056423D">
      <w:pPr>
        <w:rPr>
          <w:sz w:val="20"/>
        </w:rPr>
      </w:pPr>
    </w:p>
    <w:p w:rsidR="00953234" w:rsidRPr="00953234" w:rsidRDefault="0056423D" w:rsidP="00953234">
      <w:pPr>
        <w:rPr>
          <w:rFonts w:ascii="Times" w:hAnsi="Times"/>
          <w:sz w:val="20"/>
        </w:rPr>
      </w:pPr>
      <w:r w:rsidRPr="005A7BD8">
        <w:rPr>
          <w:b/>
          <w:sz w:val="20"/>
        </w:rPr>
        <w:t>M</w:t>
      </w:r>
      <w:r w:rsidR="00953234">
        <w:rPr>
          <w:b/>
          <w:sz w:val="20"/>
        </w:rPr>
        <w:t>ath 122 Master Section Fall 2015</w:t>
      </w:r>
      <w:r w:rsidRPr="005A7BD8">
        <w:rPr>
          <w:b/>
          <w:sz w:val="20"/>
        </w:rPr>
        <w:tab/>
      </w:r>
      <w:r w:rsidRPr="005A7BD8">
        <w:rPr>
          <w:b/>
          <w:sz w:val="20"/>
        </w:rPr>
        <w:tab/>
        <w:t>Class Key:</w:t>
      </w:r>
      <w:r w:rsidRPr="005A7BD8">
        <w:rPr>
          <w:rFonts w:ascii="Arial" w:hAnsi="Arial"/>
          <w:b/>
          <w:bCs/>
          <w:color w:val="333333"/>
          <w:sz w:val="17"/>
        </w:rPr>
        <w:t xml:space="preserve"> </w:t>
      </w:r>
      <w:proofErr w:type="gramStart"/>
      <w:r w:rsidR="00267F44" w:rsidRPr="00267F44">
        <w:rPr>
          <w:rFonts w:ascii="Arial" w:hAnsi="Arial" w:cs="Arial"/>
          <w:b/>
          <w:bCs/>
          <w:color w:val="333333"/>
          <w:sz w:val="20"/>
          <w:shd w:val="clear" w:color="auto" w:fill="FFFFFF"/>
        </w:rPr>
        <w:t>qc</w:t>
      </w:r>
      <w:proofErr w:type="gramEnd"/>
      <w:r w:rsidR="00267F44" w:rsidRPr="00267F44">
        <w:rPr>
          <w:rFonts w:ascii="Arial" w:hAnsi="Arial" w:cs="Arial"/>
          <w:b/>
          <w:bCs/>
          <w:color w:val="333333"/>
          <w:sz w:val="20"/>
          <w:shd w:val="clear" w:color="auto" w:fill="FFFFFF"/>
        </w:rPr>
        <w:t xml:space="preserve"> 0698 8146</w:t>
      </w:r>
    </w:p>
    <w:p w:rsidR="0056423D" w:rsidRDefault="0056423D" w:rsidP="0056423D">
      <w:pPr>
        <w:rPr>
          <w:sz w:val="20"/>
        </w:rPr>
      </w:pPr>
    </w:p>
    <w:p w:rsidR="0056423D" w:rsidRDefault="0056423D" w:rsidP="0056423D">
      <w:pPr>
        <w:rPr>
          <w:sz w:val="20"/>
        </w:rPr>
      </w:pPr>
      <w:r>
        <w:rPr>
          <w:sz w:val="20"/>
        </w:rPr>
        <w:t xml:space="preserve">To use </w:t>
      </w:r>
      <w:proofErr w:type="spellStart"/>
      <w:r>
        <w:rPr>
          <w:sz w:val="20"/>
        </w:rPr>
        <w:t>WebAssign</w:t>
      </w:r>
      <w:proofErr w:type="spellEnd"/>
      <w:r>
        <w:rPr>
          <w:sz w:val="20"/>
        </w:rPr>
        <w:t xml:space="preserve"> for </w:t>
      </w:r>
      <w:r w:rsidR="00E54892">
        <w:rPr>
          <w:sz w:val="20"/>
        </w:rPr>
        <w:t xml:space="preserve">your own </w:t>
      </w:r>
      <w:r>
        <w:rPr>
          <w:sz w:val="20"/>
        </w:rPr>
        <w:t>on-line homework you will need to create a Course in your account fo</w:t>
      </w:r>
      <w:r w:rsidR="00E54892">
        <w:rPr>
          <w:sz w:val="20"/>
        </w:rPr>
        <w:t>r</w:t>
      </w:r>
      <w:r w:rsidR="00423B7D">
        <w:rPr>
          <w:sz w:val="20"/>
        </w:rPr>
        <w:t xml:space="preserve"> your section. When the section</w:t>
      </w:r>
      <w:r w:rsidR="00E54892">
        <w:rPr>
          <w:sz w:val="20"/>
        </w:rPr>
        <w:t xml:space="preserve"> is created</w:t>
      </w:r>
      <w:r>
        <w:rPr>
          <w:sz w:val="20"/>
        </w:rPr>
        <w:t xml:space="preserve"> the system will give you a class key, which your students will use t</w:t>
      </w:r>
      <w:r w:rsidR="00423B7D">
        <w:rPr>
          <w:sz w:val="20"/>
        </w:rPr>
        <w:t xml:space="preserve">o enroll in your section. You can </w:t>
      </w:r>
      <w:r w:rsidR="0082701E">
        <w:rPr>
          <w:sz w:val="20"/>
        </w:rPr>
        <w:t>retrieve</w:t>
      </w:r>
      <w:r w:rsidR="00423B7D">
        <w:rPr>
          <w:sz w:val="20"/>
        </w:rPr>
        <w:t xml:space="preserve"> this code</w:t>
      </w:r>
      <w:r w:rsidR="0082701E">
        <w:rPr>
          <w:sz w:val="20"/>
        </w:rPr>
        <w:t xml:space="preserve"> later</w:t>
      </w:r>
      <w:r w:rsidR="00423B7D">
        <w:rPr>
          <w:sz w:val="20"/>
        </w:rPr>
        <w:t xml:space="preserve"> </w:t>
      </w:r>
      <w:r>
        <w:rPr>
          <w:sz w:val="20"/>
        </w:rPr>
        <w:t>by clicking on “class key settings” in the Class To</w:t>
      </w:r>
      <w:bookmarkStart w:id="0" w:name="_GoBack"/>
      <w:bookmarkEnd w:id="0"/>
      <w:r>
        <w:rPr>
          <w:sz w:val="20"/>
        </w:rPr>
        <w:t>ols menu on the left.</w:t>
      </w:r>
    </w:p>
    <w:p w:rsidR="0056423D" w:rsidRDefault="0056423D" w:rsidP="0056423D">
      <w:pPr>
        <w:rPr>
          <w:sz w:val="20"/>
        </w:rPr>
      </w:pPr>
    </w:p>
    <w:p w:rsidR="0056423D" w:rsidRDefault="0056423D" w:rsidP="0056423D">
      <w:pPr>
        <w:rPr>
          <w:sz w:val="20"/>
        </w:rPr>
      </w:pPr>
      <w:r>
        <w:rPr>
          <w:sz w:val="20"/>
        </w:rPr>
        <w:t xml:space="preserve">To create your section: Choose “Create” in the top left menu below “Home”, then “Course”, and select the textbook.  Click “enable personal study plan” and the textbook certification. Once you set the start date of the course, students have a </w:t>
      </w:r>
      <w:r w:rsidR="0082701E">
        <w:rPr>
          <w:sz w:val="20"/>
        </w:rPr>
        <w:t>2-week</w:t>
      </w:r>
      <w:r>
        <w:rPr>
          <w:sz w:val="20"/>
        </w:rPr>
        <w:t xml:space="preserve"> grace period after that date during which they can log in without having paid for access. After you save the course settings, set “</w:t>
      </w:r>
      <w:r w:rsidRPr="00C548A7">
        <w:rPr>
          <w:rFonts w:ascii="Arial" w:hAnsi="Arial"/>
          <w:color w:val="333333"/>
          <w:sz w:val="17"/>
          <w:szCs w:val="17"/>
        </w:rPr>
        <w:t>How will students be placed on your roster</w:t>
      </w:r>
      <w:r>
        <w:rPr>
          <w:rFonts w:ascii="Arial" w:hAnsi="Arial"/>
          <w:color w:val="333333"/>
          <w:sz w:val="17"/>
          <w:szCs w:val="17"/>
        </w:rPr>
        <w:t>”</w:t>
      </w:r>
      <w:r>
        <w:rPr>
          <w:rFonts w:ascii="Times" w:hAnsi="Times"/>
          <w:sz w:val="20"/>
        </w:rPr>
        <w:t xml:space="preserve"> </w:t>
      </w:r>
      <w:r>
        <w:rPr>
          <w:sz w:val="20"/>
        </w:rPr>
        <w:t xml:space="preserve">to </w:t>
      </w:r>
      <w:r w:rsidR="0082701E">
        <w:rPr>
          <w:sz w:val="20"/>
        </w:rPr>
        <w:t>self-enrollment</w:t>
      </w:r>
      <w:r>
        <w:rPr>
          <w:sz w:val="20"/>
        </w:rPr>
        <w:t>.</w:t>
      </w:r>
    </w:p>
    <w:p w:rsidR="0056423D" w:rsidRDefault="0056423D" w:rsidP="0056423D">
      <w:pPr>
        <w:rPr>
          <w:sz w:val="20"/>
        </w:rPr>
      </w:pPr>
      <w:r>
        <w:rPr>
          <w:sz w:val="20"/>
        </w:rPr>
        <w:t>Students who buy the textbook in the QC Bookstore will receive a printed Access Card, with a code which enables them to enroll in Web As</w:t>
      </w:r>
      <w:r w:rsidR="000C536A">
        <w:rPr>
          <w:sz w:val="20"/>
        </w:rPr>
        <w:t xml:space="preserve">sign. Copy </w:t>
      </w:r>
      <w:r>
        <w:rPr>
          <w:sz w:val="20"/>
        </w:rPr>
        <w:t>pas</w:t>
      </w:r>
      <w:r w:rsidR="000C536A">
        <w:rPr>
          <w:sz w:val="20"/>
        </w:rPr>
        <w:t>ted below. S</w:t>
      </w:r>
      <w:r>
        <w:rPr>
          <w:sz w:val="20"/>
        </w:rPr>
        <w:t xml:space="preserve">tudents need two codes to use </w:t>
      </w:r>
      <w:proofErr w:type="spellStart"/>
      <w:r>
        <w:rPr>
          <w:sz w:val="20"/>
        </w:rPr>
        <w:t>WebAssign</w:t>
      </w:r>
      <w:proofErr w:type="spellEnd"/>
      <w:r>
        <w:rPr>
          <w:sz w:val="20"/>
        </w:rPr>
        <w:t>: the class code, either for your individual section or the Master Section code above, AND their individual access code which shows they have paid for the system.  Instructors should tell students NOT to throw this Access Card away with the packaging. Students who buy the text elsewhere can pay for access at the website.</w:t>
      </w:r>
    </w:p>
    <w:p w:rsidR="0056423D" w:rsidRDefault="0056423D" w:rsidP="0056423D">
      <w:pPr>
        <w:rPr>
          <w:rFonts w:ascii="Times" w:hAnsi="Times"/>
          <w:sz w:val="20"/>
        </w:rPr>
      </w:pPr>
    </w:p>
    <w:p w:rsidR="00732068" w:rsidRPr="0056423D" w:rsidRDefault="009A65B6" w:rsidP="00732068">
      <w:pPr>
        <w:rPr>
          <w:rFonts w:ascii="Times" w:hAnsi="Times"/>
          <w:sz w:val="20"/>
        </w:rPr>
      </w:pPr>
      <w:r w:rsidRPr="00E55A01">
        <w:rPr>
          <w:noProof/>
          <w:lang w:eastAsia="zh-TW"/>
        </w:rPr>
        <w:drawing>
          <wp:inline distT="0" distB="0" distL="0" distR="0">
            <wp:extent cx="4587875" cy="1868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7875" cy="1868805"/>
                    </a:xfrm>
                    <a:prstGeom prst="rect">
                      <a:avLst/>
                    </a:prstGeom>
                    <a:noFill/>
                    <a:ln>
                      <a:noFill/>
                    </a:ln>
                  </pic:spPr>
                </pic:pic>
              </a:graphicData>
            </a:graphic>
          </wp:inline>
        </w:drawing>
      </w:r>
    </w:p>
    <w:sectPr w:rsidR="00732068" w:rsidRPr="0056423D" w:rsidSect="00DF26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D30AA"/>
    <w:multiLevelType w:val="singleLevel"/>
    <w:tmpl w:val="575AAE56"/>
    <w:lvl w:ilvl="0">
      <w:start w:val="2"/>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E5"/>
    <w:rsid w:val="00075090"/>
    <w:rsid w:val="000C536A"/>
    <w:rsid w:val="000F3661"/>
    <w:rsid w:val="00167326"/>
    <w:rsid w:val="002546BC"/>
    <w:rsid w:val="00267F44"/>
    <w:rsid w:val="002C4CD3"/>
    <w:rsid w:val="00423B7D"/>
    <w:rsid w:val="004C3AE7"/>
    <w:rsid w:val="004C7421"/>
    <w:rsid w:val="004D6ADF"/>
    <w:rsid w:val="00506B30"/>
    <w:rsid w:val="005209A9"/>
    <w:rsid w:val="0056423D"/>
    <w:rsid w:val="005758EC"/>
    <w:rsid w:val="005E2FF9"/>
    <w:rsid w:val="006272DC"/>
    <w:rsid w:val="00732068"/>
    <w:rsid w:val="0082701E"/>
    <w:rsid w:val="00851ED7"/>
    <w:rsid w:val="0086579C"/>
    <w:rsid w:val="00953234"/>
    <w:rsid w:val="009A65B6"/>
    <w:rsid w:val="00A90F48"/>
    <w:rsid w:val="00C158E5"/>
    <w:rsid w:val="00C45D46"/>
    <w:rsid w:val="00C55512"/>
    <w:rsid w:val="00DD5B4A"/>
    <w:rsid w:val="00DF26B2"/>
    <w:rsid w:val="00E54892"/>
    <w:rsid w:val="00E93968"/>
    <w:rsid w:val="00FC5276"/>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555998BB-DDE5-46F6-81C0-1176E77E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rsid w:val="0056423D"/>
    <w:rPr>
      <w:color w:val="0000FF"/>
      <w:u w:val="single"/>
    </w:rPr>
  </w:style>
  <w:style w:type="character" w:styleId="Strong">
    <w:name w:val="Strong"/>
    <w:uiPriority w:val="22"/>
    <w:qFormat/>
    <w:rsid w:val="00953234"/>
    <w:rPr>
      <w:b/>
      <w:bCs/>
    </w:rPr>
  </w:style>
  <w:style w:type="character" w:styleId="FollowedHyperlink">
    <w:name w:val="FollowedHyperlink"/>
    <w:rsid w:val="00E548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2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ssign.net/" TargetMode="External"/><Relationship Id="rId3" Type="http://schemas.openxmlformats.org/officeDocument/2006/relationships/settings" Target="settings.xml"/><Relationship Id="rId7" Type="http://schemas.openxmlformats.org/officeDocument/2006/relationships/hyperlink" Target="http://webassig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Math 111</vt:lpstr>
    </vt:vector>
  </TitlesOfParts>
  <Company>Micron Electronics, Inc.</Company>
  <LinksUpToDate>false</LinksUpToDate>
  <CharactersWithSpaces>5429</CharactersWithSpaces>
  <SharedDoc>false</SharedDoc>
  <HLinks>
    <vt:vector size="12" baseType="variant">
      <vt:variant>
        <vt:i4>5243005</vt:i4>
      </vt:variant>
      <vt:variant>
        <vt:i4>6</vt:i4>
      </vt:variant>
      <vt:variant>
        <vt:i4>0</vt:i4>
      </vt:variant>
      <vt:variant>
        <vt:i4>5</vt:i4>
      </vt:variant>
      <vt:variant>
        <vt:lpwstr>http://webassign.net/</vt:lpwstr>
      </vt:variant>
      <vt:variant>
        <vt:lpwstr/>
      </vt:variant>
      <vt:variant>
        <vt:i4>5243005</vt:i4>
      </vt:variant>
      <vt:variant>
        <vt:i4>3</vt:i4>
      </vt:variant>
      <vt:variant>
        <vt:i4>0</vt:i4>
      </vt:variant>
      <vt:variant>
        <vt:i4>5</vt:i4>
      </vt:variant>
      <vt:variant>
        <vt:lpwstr>http://webassign.net/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111</dc:title>
  <dc:subject/>
  <dc:creator>Jennifer Whitehead</dc:creator>
  <cp:keywords/>
  <cp:lastModifiedBy>Chengcheng Wen</cp:lastModifiedBy>
  <cp:revision>5</cp:revision>
  <cp:lastPrinted>2015-07-23T19:05:00Z</cp:lastPrinted>
  <dcterms:created xsi:type="dcterms:W3CDTF">2015-07-23T18:55:00Z</dcterms:created>
  <dcterms:modified xsi:type="dcterms:W3CDTF">2015-08-26T21:51:00Z</dcterms:modified>
</cp:coreProperties>
</file>